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758" w:rsidRDefault="009E41F3" w:rsidP="00A04C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Ostrava </w:t>
      </w:r>
      <w:r w:rsidR="00772703">
        <w:t>1</w:t>
      </w:r>
      <w:r w:rsidR="00A43D2C">
        <w:t>6</w:t>
      </w:r>
      <w:r w:rsidR="00772703">
        <w:t>. června 2023</w:t>
      </w:r>
    </w:p>
    <w:p w:rsidR="009E41F3" w:rsidRDefault="009E41F3" w:rsidP="00A04CC7"/>
    <w:p w:rsidR="009E41F3" w:rsidRDefault="009E41F3" w:rsidP="00A04CC7"/>
    <w:p w:rsidR="009E41F3" w:rsidRDefault="00DB75A2" w:rsidP="00A04CC7">
      <w:pPr>
        <w:rPr>
          <w:b/>
        </w:rPr>
      </w:pPr>
      <w:r>
        <w:rPr>
          <w:b/>
        </w:rPr>
        <w:t>Pozor</w:t>
      </w:r>
      <w:r w:rsidR="00DC6215">
        <w:rPr>
          <w:b/>
        </w:rPr>
        <w:t xml:space="preserve"> na podvodné emaily s odkazy</w:t>
      </w:r>
    </w:p>
    <w:p w:rsidR="00085EED" w:rsidRDefault="00085EED" w:rsidP="00A04CC7">
      <w:pPr>
        <w:rPr>
          <w:b/>
        </w:rPr>
      </w:pPr>
    </w:p>
    <w:p w:rsidR="00085EED" w:rsidRDefault="00085EED" w:rsidP="00A04CC7">
      <w:pPr>
        <w:rPr>
          <w:b/>
        </w:rPr>
      </w:pPr>
    </w:p>
    <w:p w:rsidR="00085EED" w:rsidRDefault="00085EED" w:rsidP="00197F11">
      <w:pPr>
        <w:jc w:val="both"/>
      </w:pPr>
      <w:r>
        <w:t>Policisté obvodního oddělení Frýdek-Místek se v posledním týdnu zabývají hned dvěma případy</w:t>
      </w:r>
      <w:r w:rsidR="005D3662">
        <w:t xml:space="preserve"> podvodu</w:t>
      </w:r>
      <w:r>
        <w:t>, které jsou téměř totožné. Společnými znaky jsou jak zaslaný podvodný email</w:t>
      </w:r>
      <w:r w:rsidR="00197F11">
        <w:t xml:space="preserve"> s odkazem</w:t>
      </w:r>
      <w:r>
        <w:t xml:space="preserve">, tak následné odčerpání peněz z účtů </w:t>
      </w:r>
      <w:r w:rsidR="00197F11">
        <w:t>poškozených po jejich přihlášení</w:t>
      </w:r>
      <w:r w:rsidR="00AD6DCB">
        <w:t xml:space="preserve"> do internetového bankovnictví</w:t>
      </w:r>
      <w:r w:rsidR="00197F11">
        <w:t xml:space="preserve"> právě přes uvedený odkaz.</w:t>
      </w:r>
    </w:p>
    <w:p w:rsidR="00197F11" w:rsidRDefault="00197F11" w:rsidP="00197F11">
      <w:pPr>
        <w:jc w:val="both"/>
      </w:pPr>
    </w:p>
    <w:p w:rsidR="00D94D75" w:rsidRDefault="00197F11" w:rsidP="00197F11">
      <w:pPr>
        <w:jc w:val="both"/>
      </w:pPr>
      <w:r>
        <w:t xml:space="preserve">V prvním případě </w:t>
      </w:r>
      <w:r w:rsidR="002D5E76">
        <w:t>obdržela žena email, o kterém s</w:t>
      </w:r>
      <w:r w:rsidR="00BC786F">
        <w:t>e domnívala, že jej zaslala</w:t>
      </w:r>
      <w:r w:rsidR="002D5E76">
        <w:t xml:space="preserve"> banka. </w:t>
      </w:r>
      <w:r w:rsidR="00EE6B5D">
        <w:t>Stálo v něm</w:t>
      </w:r>
      <w:r w:rsidR="002D5E76">
        <w:t xml:space="preserve">, že pokud dotyčná </w:t>
      </w:r>
      <w:r w:rsidR="00EE6B5D" w:rsidRPr="00EE6B5D">
        <w:rPr>
          <w:b/>
        </w:rPr>
        <w:t>nepotvrdí aktualizaci svých</w:t>
      </w:r>
      <w:r w:rsidR="002D5E76" w:rsidRPr="00EE6B5D">
        <w:rPr>
          <w:b/>
        </w:rPr>
        <w:t xml:space="preserve"> bankovní</w:t>
      </w:r>
      <w:r w:rsidR="00EE6B5D">
        <w:rPr>
          <w:b/>
        </w:rPr>
        <w:t>ch údajů</w:t>
      </w:r>
      <w:r w:rsidR="002D5E76" w:rsidRPr="00EE6B5D">
        <w:rPr>
          <w:b/>
        </w:rPr>
        <w:t>, nebudou dočasně dostupné n</w:t>
      </w:r>
      <w:r w:rsidR="00F02AD9" w:rsidRPr="00EE6B5D">
        <w:rPr>
          <w:b/>
        </w:rPr>
        <w:t xml:space="preserve">ěkteré funkce jejího </w:t>
      </w:r>
      <w:r w:rsidR="002D5E76" w:rsidRPr="00EE6B5D">
        <w:rPr>
          <w:b/>
        </w:rPr>
        <w:t>účtu</w:t>
      </w:r>
      <w:r w:rsidR="002D5E76">
        <w:t>.</w:t>
      </w:r>
      <w:r w:rsidR="00BC786F">
        <w:t xml:space="preserve"> Následně tedy klikla na odkaz v podobě tlačítka „potvrdit nyní</w:t>
      </w:r>
      <w:r w:rsidR="00DB75A2">
        <w:t xml:space="preserve">“ a byla přesměrována na stránky tvářící se jako internetové </w:t>
      </w:r>
      <w:r w:rsidR="00BC786F">
        <w:t>bankovnictví, kde vlož</w:t>
      </w:r>
      <w:r w:rsidR="00DB75A2">
        <w:t xml:space="preserve">ila své přihlašovací údaje. Ty </w:t>
      </w:r>
      <w:r w:rsidR="00BC786F">
        <w:t>potvrdila ještě kódy</w:t>
      </w:r>
      <w:r w:rsidR="00AD6DCB">
        <w:t xml:space="preserve"> zaslanými </w:t>
      </w:r>
      <w:r w:rsidR="00BC786F">
        <w:t xml:space="preserve">na </w:t>
      </w:r>
      <w:r w:rsidR="00AD6DCB">
        <w:t xml:space="preserve">její </w:t>
      </w:r>
      <w:r w:rsidR="00BC786F">
        <w:t>mobilní telefon. Poté si však na účtu všimla pohybu peněz a pojala podezření, že se jedná o podvod. Proto se osobně dostavila na pobočku banky, kde j</w:t>
      </w:r>
      <w:r w:rsidR="00782CA9">
        <w:t>í</w:t>
      </w:r>
      <w:r w:rsidR="00BC786F">
        <w:t xml:space="preserve"> byl účet zablokován. Mezitím však přišla o víc jak 30 tisíc korun. </w:t>
      </w:r>
    </w:p>
    <w:p w:rsidR="00D94D75" w:rsidRDefault="00D94D75" w:rsidP="00197F11">
      <w:pPr>
        <w:jc w:val="both"/>
      </w:pPr>
      <w:bookmarkStart w:id="0" w:name="_GoBack"/>
      <w:bookmarkEnd w:id="0"/>
    </w:p>
    <w:p w:rsidR="00197F11" w:rsidRDefault="0071215C" w:rsidP="00197F11">
      <w:pPr>
        <w:jc w:val="both"/>
      </w:pPr>
      <w:r>
        <w:t xml:space="preserve">Ve druhém případě je </w:t>
      </w:r>
      <w:r w:rsidR="00B76DE8">
        <w:t xml:space="preserve">poškozenou opět žena, která </w:t>
      </w:r>
      <w:r>
        <w:t>obdržela obdobný email se stejnými informacemi. Taktéž ona klikla na odkaz v podobě tlačítka a byla přesměrována na stránky internetového bankovni</w:t>
      </w:r>
      <w:r w:rsidR="000E7B70">
        <w:t>ctví, kde se přihlásila. Následně ji přišla SMS zpráva, že jí byla aktivována bankovní aplikace a v následující zprávě i informace o navýšení limitu na platební kartě. Poté už ženě nefungovalo přihlášení do internetového bankovnictví, proto telefonicky kontaktovala svou banku, kde jí byl zablokován účet i platební karta. To už však mezitím byly provedeny prostřednictvím plateb</w:t>
      </w:r>
      <w:r w:rsidR="0023734F">
        <w:t xml:space="preserve">ní karty dvě neoprávněné platební transakce </w:t>
      </w:r>
      <w:r w:rsidR="000E7B70">
        <w:t>v celkové výši přes 140 tisíc korun.</w:t>
      </w:r>
    </w:p>
    <w:p w:rsidR="008D0C2D" w:rsidRDefault="008D0C2D" w:rsidP="00197F11">
      <w:pPr>
        <w:jc w:val="both"/>
      </w:pPr>
    </w:p>
    <w:p w:rsidR="008D0C2D" w:rsidRPr="00117608" w:rsidRDefault="008D0C2D" w:rsidP="00197F11">
      <w:pPr>
        <w:jc w:val="both"/>
        <w:rPr>
          <w:i/>
        </w:rPr>
      </w:pPr>
      <w:r w:rsidRPr="00117608">
        <w:rPr>
          <w:i/>
        </w:rPr>
        <w:t>Policisté opět apelují, věnujte maximální pozornost při obdržení jakékoliv emailové korespondence tvářící se jako informace z vaší banky.</w:t>
      </w:r>
      <w:r w:rsidR="00EE38E2" w:rsidRPr="00117608">
        <w:rPr>
          <w:i/>
        </w:rPr>
        <w:t xml:space="preserve"> Především si </w:t>
      </w:r>
      <w:r w:rsidR="00EE38E2" w:rsidRPr="00117608">
        <w:rPr>
          <w:b/>
          <w:i/>
        </w:rPr>
        <w:t>zkontrolujte adresu odesílatele</w:t>
      </w:r>
      <w:r w:rsidR="00EE38E2" w:rsidRPr="00117608">
        <w:rPr>
          <w:i/>
        </w:rPr>
        <w:t xml:space="preserve">, nejen jak se zobrazuje </w:t>
      </w:r>
      <w:r w:rsidR="00DB75A2">
        <w:rPr>
          <w:i/>
        </w:rPr>
        <w:t>její</w:t>
      </w:r>
      <w:r w:rsidR="00EE38E2" w:rsidRPr="00117608">
        <w:rPr>
          <w:i/>
        </w:rPr>
        <w:t xml:space="preserve"> </w:t>
      </w:r>
      <w:r w:rsidR="00DB75A2">
        <w:rPr>
          <w:i/>
        </w:rPr>
        <w:t>název, ale také si ji</w:t>
      </w:r>
      <w:r w:rsidR="00EE38E2" w:rsidRPr="00117608">
        <w:rPr>
          <w:i/>
        </w:rPr>
        <w:t xml:space="preserve"> </w:t>
      </w:r>
      <w:r w:rsidR="00EE38E2" w:rsidRPr="00117608">
        <w:rPr>
          <w:b/>
          <w:i/>
        </w:rPr>
        <w:t>rozklikněte</w:t>
      </w:r>
      <w:r w:rsidR="00EE38E2" w:rsidRPr="00117608">
        <w:rPr>
          <w:i/>
        </w:rPr>
        <w:t>, abyste zjistili skutečnou emailovou adresu</w:t>
      </w:r>
      <w:r w:rsidR="008F16DA" w:rsidRPr="00117608">
        <w:rPr>
          <w:i/>
        </w:rPr>
        <w:t xml:space="preserve">. Ta u podvodných emailů bývá mnohdy „nesrozumitelná“. </w:t>
      </w:r>
      <w:r w:rsidR="008F16DA" w:rsidRPr="00117608">
        <w:rPr>
          <w:b/>
          <w:i/>
        </w:rPr>
        <w:t>Do internetového bankovnictví se přihlašuj</w:t>
      </w:r>
      <w:r w:rsidR="00117608">
        <w:rPr>
          <w:b/>
          <w:i/>
        </w:rPr>
        <w:t>t</w:t>
      </w:r>
      <w:r w:rsidR="008F16DA" w:rsidRPr="00117608">
        <w:rPr>
          <w:b/>
          <w:i/>
        </w:rPr>
        <w:t xml:space="preserve">e pouze přes oficiální stránky, nikdy ne přes odkazy. </w:t>
      </w:r>
      <w:r w:rsidR="00117608" w:rsidRPr="00117608">
        <w:rPr>
          <w:i/>
        </w:rPr>
        <w:t>Při obdržení emailu s podezřelým obsahem neklikejte na odkazy či přílohy, informace si ověřte přímo u své banky.</w:t>
      </w:r>
    </w:p>
    <w:p w:rsidR="00A662BD" w:rsidRDefault="00A662BD" w:rsidP="004622EB">
      <w:pPr>
        <w:jc w:val="both"/>
        <w:rPr>
          <w:b/>
        </w:rPr>
      </w:pPr>
    </w:p>
    <w:p w:rsidR="00A662BD" w:rsidRDefault="00A662BD" w:rsidP="004622EB">
      <w:pPr>
        <w:jc w:val="both"/>
        <w:rPr>
          <w:b/>
        </w:rPr>
      </w:pPr>
    </w:p>
    <w:p w:rsidR="00A662BD" w:rsidRPr="00A662BD" w:rsidRDefault="00A662BD" w:rsidP="004622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nprap. Bc. Kateřina Kubzová</w:t>
      </w:r>
    </w:p>
    <w:sectPr w:rsidR="00A662BD" w:rsidRPr="00A662BD" w:rsidSect="003838FA">
      <w:footerReference w:type="default" r:id="rId6"/>
      <w:headerReference w:type="first" r:id="rId7"/>
      <w:footerReference w:type="first" r:id="rId8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6BB" w:rsidRDefault="001E26BB">
      <w:r>
        <w:separator/>
      </w:r>
    </w:p>
  </w:endnote>
  <w:endnote w:type="continuationSeparator" w:id="0">
    <w:p w:rsidR="001E26BB" w:rsidRDefault="001E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D3662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55746C">
    <w:pPr>
      <w:pStyle w:val="Zpat"/>
    </w:pPr>
    <w:r>
      <w:t>30. dubna 24</w:t>
    </w:r>
  </w:p>
  <w:p w:rsidR="003033CD" w:rsidRDefault="0055746C" w:rsidP="00C70F2F">
    <w:pPr>
      <w:pStyle w:val="Zpat"/>
    </w:pPr>
    <w:r>
      <w:t>728 99 Ostrava</w:t>
    </w:r>
  </w:p>
  <w:p w:rsidR="008421AC" w:rsidRDefault="008421AC" w:rsidP="008421AC">
    <w:pPr>
      <w:pStyle w:val="Zpat"/>
    </w:pPr>
  </w:p>
  <w:p w:rsidR="008421AC" w:rsidRDefault="008421AC" w:rsidP="008421AC">
    <w:pPr>
      <w:pStyle w:val="Zpat"/>
    </w:pPr>
    <w:r>
      <w:t>Tel.: +420 974 725 239</w:t>
    </w:r>
  </w:p>
  <w:p w:rsidR="008421AC" w:rsidRDefault="008421AC" w:rsidP="00C70F2F">
    <w:pPr>
      <w:pStyle w:val="Zpat"/>
    </w:pPr>
    <w:r>
      <w:t>Mobil: +420 603 190 798</w:t>
    </w:r>
  </w:p>
  <w:p w:rsidR="003033CD" w:rsidRDefault="008421AC" w:rsidP="008421AC">
    <w:pPr>
      <w:pStyle w:val="Zpat"/>
      <w:ind w:left="0"/>
    </w:pPr>
    <w:r>
      <w:t xml:space="preserve">                                                                                                             </w:t>
    </w:r>
    <w:r w:rsidR="009C05A9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55746C">
      <w:t>krpt.pio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6BB" w:rsidRDefault="001E26BB">
      <w:r>
        <w:separator/>
      </w:r>
    </w:p>
  </w:footnote>
  <w:footnote w:type="continuationSeparator" w:id="0">
    <w:p w:rsidR="001E26BB" w:rsidRDefault="001E2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D651FC" w:rsidP="003E0E50">
          <w:pPr>
            <w:pStyle w:val="Zahlavi3"/>
          </w:pPr>
          <w:r>
            <w:t>oddělení tisku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17B94"/>
    <w:rsid w:val="00025E56"/>
    <w:rsid w:val="00037621"/>
    <w:rsid w:val="00085EED"/>
    <w:rsid w:val="00085FD2"/>
    <w:rsid w:val="0008606E"/>
    <w:rsid w:val="000B6E14"/>
    <w:rsid w:val="000C5AEC"/>
    <w:rsid w:val="000E55AB"/>
    <w:rsid w:val="000E5E0C"/>
    <w:rsid w:val="000E7B70"/>
    <w:rsid w:val="001031FD"/>
    <w:rsid w:val="00117608"/>
    <w:rsid w:val="001275D9"/>
    <w:rsid w:val="0014703C"/>
    <w:rsid w:val="001634F4"/>
    <w:rsid w:val="00166B7A"/>
    <w:rsid w:val="001775CF"/>
    <w:rsid w:val="0019679D"/>
    <w:rsid w:val="00197CDE"/>
    <w:rsid w:val="00197F11"/>
    <w:rsid w:val="001C4E5C"/>
    <w:rsid w:val="001C5683"/>
    <w:rsid w:val="001D65A2"/>
    <w:rsid w:val="001D72EE"/>
    <w:rsid w:val="001E26BB"/>
    <w:rsid w:val="001E7841"/>
    <w:rsid w:val="001F32D7"/>
    <w:rsid w:val="001F3DA8"/>
    <w:rsid w:val="00201308"/>
    <w:rsid w:val="00206CC5"/>
    <w:rsid w:val="0023734F"/>
    <w:rsid w:val="0026523C"/>
    <w:rsid w:val="00284EF3"/>
    <w:rsid w:val="00292D6D"/>
    <w:rsid w:val="002C6583"/>
    <w:rsid w:val="002D14F9"/>
    <w:rsid w:val="002D5E76"/>
    <w:rsid w:val="002E7A5F"/>
    <w:rsid w:val="003033CD"/>
    <w:rsid w:val="0031453B"/>
    <w:rsid w:val="00361AE9"/>
    <w:rsid w:val="00380C7E"/>
    <w:rsid w:val="003838FA"/>
    <w:rsid w:val="003931E4"/>
    <w:rsid w:val="00393CF3"/>
    <w:rsid w:val="003C2C42"/>
    <w:rsid w:val="003C6013"/>
    <w:rsid w:val="003E0E50"/>
    <w:rsid w:val="003E2B77"/>
    <w:rsid w:val="003F70BD"/>
    <w:rsid w:val="0040129D"/>
    <w:rsid w:val="004029B7"/>
    <w:rsid w:val="00404627"/>
    <w:rsid w:val="004622EB"/>
    <w:rsid w:val="004A28EC"/>
    <w:rsid w:val="004B5AA5"/>
    <w:rsid w:val="004C509E"/>
    <w:rsid w:val="004D2726"/>
    <w:rsid w:val="004D2BEB"/>
    <w:rsid w:val="004D3A46"/>
    <w:rsid w:val="004F2714"/>
    <w:rsid w:val="004F4D70"/>
    <w:rsid w:val="0052552C"/>
    <w:rsid w:val="00533498"/>
    <w:rsid w:val="00553819"/>
    <w:rsid w:val="0055746C"/>
    <w:rsid w:val="005A292B"/>
    <w:rsid w:val="005B1BF0"/>
    <w:rsid w:val="005B2342"/>
    <w:rsid w:val="005C020E"/>
    <w:rsid w:val="005D3662"/>
    <w:rsid w:val="005D7596"/>
    <w:rsid w:val="00607390"/>
    <w:rsid w:val="00610AAC"/>
    <w:rsid w:val="00613514"/>
    <w:rsid w:val="00652F98"/>
    <w:rsid w:val="00655EDC"/>
    <w:rsid w:val="006644D3"/>
    <w:rsid w:val="006659FB"/>
    <w:rsid w:val="00685018"/>
    <w:rsid w:val="006867E9"/>
    <w:rsid w:val="00687406"/>
    <w:rsid w:val="006A7FC8"/>
    <w:rsid w:val="006B1A86"/>
    <w:rsid w:val="006C13C9"/>
    <w:rsid w:val="006C29C4"/>
    <w:rsid w:val="006C6972"/>
    <w:rsid w:val="006D3C07"/>
    <w:rsid w:val="006E403F"/>
    <w:rsid w:val="006E701B"/>
    <w:rsid w:val="006F1EDB"/>
    <w:rsid w:val="0071215C"/>
    <w:rsid w:val="00713CE4"/>
    <w:rsid w:val="007351CF"/>
    <w:rsid w:val="00763AE7"/>
    <w:rsid w:val="0077115F"/>
    <w:rsid w:val="00772703"/>
    <w:rsid w:val="00776A76"/>
    <w:rsid w:val="00782CA9"/>
    <w:rsid w:val="007A0413"/>
    <w:rsid w:val="007A04F5"/>
    <w:rsid w:val="007B5228"/>
    <w:rsid w:val="007B71C4"/>
    <w:rsid w:val="007C3E60"/>
    <w:rsid w:val="007C71B0"/>
    <w:rsid w:val="007D234D"/>
    <w:rsid w:val="00800DDD"/>
    <w:rsid w:val="0080548A"/>
    <w:rsid w:val="0080750F"/>
    <w:rsid w:val="00811D84"/>
    <w:rsid w:val="00812E88"/>
    <w:rsid w:val="008304C9"/>
    <w:rsid w:val="008421AC"/>
    <w:rsid w:val="00851385"/>
    <w:rsid w:val="008523A4"/>
    <w:rsid w:val="00856EF5"/>
    <w:rsid w:val="00860B48"/>
    <w:rsid w:val="008628D7"/>
    <w:rsid w:val="00866422"/>
    <w:rsid w:val="0087268C"/>
    <w:rsid w:val="00873401"/>
    <w:rsid w:val="00895395"/>
    <w:rsid w:val="008B7F5D"/>
    <w:rsid w:val="008D0C2D"/>
    <w:rsid w:val="008D239C"/>
    <w:rsid w:val="008E6D24"/>
    <w:rsid w:val="008F16DA"/>
    <w:rsid w:val="009206AE"/>
    <w:rsid w:val="009229FB"/>
    <w:rsid w:val="0092632C"/>
    <w:rsid w:val="0093501E"/>
    <w:rsid w:val="00937C81"/>
    <w:rsid w:val="00953C55"/>
    <w:rsid w:val="009548A6"/>
    <w:rsid w:val="00961EE6"/>
    <w:rsid w:val="009632E9"/>
    <w:rsid w:val="00963E32"/>
    <w:rsid w:val="00987705"/>
    <w:rsid w:val="009915D3"/>
    <w:rsid w:val="00996AE6"/>
    <w:rsid w:val="009A2489"/>
    <w:rsid w:val="009A4376"/>
    <w:rsid w:val="009B75B2"/>
    <w:rsid w:val="009C05A9"/>
    <w:rsid w:val="009C2079"/>
    <w:rsid w:val="009D2597"/>
    <w:rsid w:val="009D7F43"/>
    <w:rsid w:val="009E3BF9"/>
    <w:rsid w:val="009E4168"/>
    <w:rsid w:val="009E41F3"/>
    <w:rsid w:val="009E5364"/>
    <w:rsid w:val="009F46F6"/>
    <w:rsid w:val="00A04CC7"/>
    <w:rsid w:val="00A152BF"/>
    <w:rsid w:val="00A30CC6"/>
    <w:rsid w:val="00A31BE4"/>
    <w:rsid w:val="00A43D2C"/>
    <w:rsid w:val="00A64478"/>
    <w:rsid w:val="00A657A6"/>
    <w:rsid w:val="00A662BD"/>
    <w:rsid w:val="00AA4972"/>
    <w:rsid w:val="00AA696B"/>
    <w:rsid w:val="00AA7A4D"/>
    <w:rsid w:val="00AB4170"/>
    <w:rsid w:val="00AD1462"/>
    <w:rsid w:val="00AD6DCB"/>
    <w:rsid w:val="00AF0B13"/>
    <w:rsid w:val="00B05436"/>
    <w:rsid w:val="00B17289"/>
    <w:rsid w:val="00B32083"/>
    <w:rsid w:val="00B35D62"/>
    <w:rsid w:val="00B76DE8"/>
    <w:rsid w:val="00B77FF3"/>
    <w:rsid w:val="00BA563D"/>
    <w:rsid w:val="00BC786F"/>
    <w:rsid w:val="00BD37AC"/>
    <w:rsid w:val="00BD6A14"/>
    <w:rsid w:val="00BE0EE8"/>
    <w:rsid w:val="00BE5AF8"/>
    <w:rsid w:val="00C02632"/>
    <w:rsid w:val="00C04006"/>
    <w:rsid w:val="00C12AB3"/>
    <w:rsid w:val="00C472C7"/>
    <w:rsid w:val="00C57DBF"/>
    <w:rsid w:val="00C70F2F"/>
    <w:rsid w:val="00C75CF2"/>
    <w:rsid w:val="00C820EC"/>
    <w:rsid w:val="00C87F6D"/>
    <w:rsid w:val="00C915D8"/>
    <w:rsid w:val="00CA476C"/>
    <w:rsid w:val="00CB7927"/>
    <w:rsid w:val="00CC2063"/>
    <w:rsid w:val="00CD4493"/>
    <w:rsid w:val="00CF5BA6"/>
    <w:rsid w:val="00D0446A"/>
    <w:rsid w:val="00D10B6E"/>
    <w:rsid w:val="00D14E87"/>
    <w:rsid w:val="00D27EC7"/>
    <w:rsid w:val="00D56255"/>
    <w:rsid w:val="00D63BC5"/>
    <w:rsid w:val="00D645A1"/>
    <w:rsid w:val="00D651FC"/>
    <w:rsid w:val="00D77142"/>
    <w:rsid w:val="00D9194D"/>
    <w:rsid w:val="00D93844"/>
    <w:rsid w:val="00D94D75"/>
    <w:rsid w:val="00DB31CA"/>
    <w:rsid w:val="00DB75A2"/>
    <w:rsid w:val="00DC6215"/>
    <w:rsid w:val="00DE6758"/>
    <w:rsid w:val="00DF7105"/>
    <w:rsid w:val="00E01F29"/>
    <w:rsid w:val="00E0224F"/>
    <w:rsid w:val="00E2321B"/>
    <w:rsid w:val="00E324F5"/>
    <w:rsid w:val="00E55D1A"/>
    <w:rsid w:val="00E5638F"/>
    <w:rsid w:val="00E56EE2"/>
    <w:rsid w:val="00E57681"/>
    <w:rsid w:val="00E6173C"/>
    <w:rsid w:val="00E83B4F"/>
    <w:rsid w:val="00EA4515"/>
    <w:rsid w:val="00EA7854"/>
    <w:rsid w:val="00EC3E8B"/>
    <w:rsid w:val="00EE38E2"/>
    <w:rsid w:val="00EE6B5D"/>
    <w:rsid w:val="00F02AD9"/>
    <w:rsid w:val="00F02C62"/>
    <w:rsid w:val="00F04AAB"/>
    <w:rsid w:val="00F06305"/>
    <w:rsid w:val="00F06757"/>
    <w:rsid w:val="00F2610A"/>
    <w:rsid w:val="00F2713B"/>
    <w:rsid w:val="00F375A1"/>
    <w:rsid w:val="00F52774"/>
    <w:rsid w:val="00F52BC3"/>
    <w:rsid w:val="00F546C4"/>
    <w:rsid w:val="00F722FB"/>
    <w:rsid w:val="00F73351"/>
    <w:rsid w:val="00FA35C2"/>
    <w:rsid w:val="00FB7A58"/>
    <w:rsid w:val="00FC33BE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797CF710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A30CC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380C7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30CC6"/>
    <w:rPr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A30CC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A30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162</TotalTime>
  <Pages>1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Kateřina Kubzová</cp:lastModifiedBy>
  <cp:revision>20</cp:revision>
  <cp:lastPrinted>2023-06-15T08:21:00Z</cp:lastPrinted>
  <dcterms:created xsi:type="dcterms:W3CDTF">2023-06-14T11:32:00Z</dcterms:created>
  <dcterms:modified xsi:type="dcterms:W3CDTF">2023-06-16T06:48:00Z</dcterms:modified>
</cp:coreProperties>
</file>